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2003 2 vom 27. Juni 2003</w:t>
      </w:r>
    </w:p>
    <w:p>
      <w:r>
        <w:t>GR Gerichte, 2003-06-27, DE</w:t>
      </w:r>
    </w:p>
    <w:p>
      <w:r>
        <w:rPr>
          <w:b/>
        </w:rPr>
        <w:t xml:space="preserve">Quelle: </w:t>
      </w:r>
      <w:r>
        <w:t>https://mcp.opencaselaw.ch/entscheid/gr_gerichte_PVG 2003 2</w:t>
      </w:r>
    </w:p>
    <w:p>
      <w:r>
        <w:t>FR: GR_GERICHTE PVG 2003 2 du 27 juin 2003</w:t>
      </w:r>
    </w:p>
    <w:p>
      <w:r>
        <w:t>IT: GR_GERICHTE PVG 2003 2 del 27 giugno 2003</w:t>
      </w:r>
    </w:p>
    <w:p>
      <w:pPr>
        <w:pStyle w:val="Heading2"/>
      </w:pPr>
      <w:r>
        <w:t>Erwägungen</w:t>
      </w:r>
    </w:p>
    <w:p>
      <w:r>
        <w:rPr>
          <w:b/>
        </w:rPr>
        <w:t>E. 1</w:t>
      </w:r>
    </w:p>
    <w:p>
      <w:r>
        <w:t>Gemäss Art. 13 Abs. 1 lit. f VGG beurteilt das Verwal- tungsgericht im Rekursverfahren Wahlen und Abstimmungen in Gemeinden, Kreisen und Bezirken, wobei bei Stimmrechtsbe- schwerden gegen Erlasse nur die Verletzung von Verfahrensvor- schriften geltend gemacht werden kann (vgl. VGU U 99 150; VGE 449/98). Das vom Verfassungsrecht des Bundes gewährleistete politische Stimmrecht gibt dem Bürger einen Anspruch darauf, dass kein Abstimmungsergebnis anerkannt wird, das nicht den freien Willen der Stimmbürger zuverlässig und unverfälscht zum</w:t>
      </w:r>
    </w:p>
    <w:p>
      <w:r>
        <w:rPr>
          <w:b/>
        </w:rPr>
        <w:t>E. 2</w:t>
      </w:r>
    </w:p>
    <w:p>
      <w:r>
        <w:t>/2 Politische Rechte PVG 2003 28 kutive nur nachkommen, wenn sie ihre eigenen Pläne und Ziele aktiv unterstützt und indem sie eindeutig angibt, was sie für das Allgemeininteresse als notwendig oder vorteilhaft betrachtet. Der Dialog zwischen der Exekutive und der öffentlichen Meinung, der sich z.B. im Rahmen der parlamentarischen Debatten abspiele, ferner auf Grund der Mitteilungen der Exekutive oder anlässlich öffentlicher Stellungnahmen der Behördemitglieder, sei ausser- dem ein unerlässlicher Bestandteil der Demokratie. Man müsse folglich der Exekutive das Recht – und sogar die Pflicht – zuerken- nen, ausserhalb der Zeitspannen unmittelbar vor der Abstim- mung in die politische Debatte einzugreifen, wie das Bundesge- richt in Pra 85 Nr. 92 unter Hinweis auf G.-A. Decurtins, Die rechtliche Stellung der Behörde im Abstimmungskampf, Fribourg 1992, S. 135 ff., und J. Ramseyer, Zur Problematik der behörd- lichen Information im Vorfeld von Wahlen und Abstimmungen, Basel 1992, S. 8/9 ausführte. Erst wenn der Volksentscheid nahe sei, sei die politische Behörde grundsätzlich verpflichtet, sich je- den Einflusses auf die Wählerschaft zu enthalten, damit diese sich unabhängig entscheiden könne. Diese Pflicht zur Zurückhaltung beginnt im Zeitpunkt, wo die Vorlage, welche zur Abstimmung un- terbreitet werden soll, von der zuständigen Behörde endgültig an- genommen oder empfangen worden ist (Decurtins, a.a.O., S. 113; Ramseyer, a.a.O., S. 22), d. h. vor allem wenn ein dem fakultativen oder obligatorischen Referendum unterliegendes Gesetz vom Par- lament angenommen worden ist oder wenn die Einreichung einer Volksinitiative offiziell bestätigt worden ist. Gemäss E. Grisel (Ini- tiative et référendum populaire, Lausanne 1987, S. 92 Ziff. 3) be- ginnt diese Pflicht sogar erst nach der offiziellen Einladung der Wählerschaft, mit der Zustellung der für sie bestimmten erläu- ternden Botschaft.</w:t>
      </w:r>
    </w:p>
    <w:p>
      <w:r>
        <w:rPr>
          <w:b/>
        </w:rPr>
        <w:t>E. 3</w:t>
      </w:r>
    </w:p>
    <w:p>
      <w:r>
        <w:t>a) Im Lichte der vorstehenden Ausführungen wird klar, dass die zur Diskussion stehende planungsrechtliche Mitwir- kungsauflage nicht Anfechtungsobjekt einer Stimmrechtsbe- schwerde sein kann. Es ist Aufgabe der Baubehörde, die für ihre raumwirksamen Aufgaben nötigen Planungen zu erarbeiten (vgl. Art. 2 RPG) und das Ergebnis des behördlichen Planungsprozes- ses im Mitwirkungsverfahren zu vertreten. Hervorzuheben ist, dass bei diesem Planungsschritt noch keine endgültigen Lösun- gen vorgelegt werden, sondern Entwürfe, welche aufgrund der erfolgten Äusserungen der Interessierten und in den weiteren Ver- fahrensphasen abgeändert werden können. Das Mitwirkungsver- fahren gehört in diesem Sinne nicht zur Abstimmung über die Vor-</w:t>
      </w:r>
    </w:p>
    <w:p>
      <w:r>
        <w:t>2 /2 Politische Rechte PVG 2003 29 lage bzw. zu deren Vorbereitung, sondern bereitet seinerseits erst die Entscheidungsgrundlagen zuhanden der die Volksabstim- mung veranlassenden Behörde vor. Erst wenn diese Behörde die Vorlage definitiv zuhanden der Abstimmung verabschiedet hat und damit an die Stimmbürgerschaft herantritt, beginnt das Vor- bereitungsverfahren für die Abstimmung. b) Die Festlegung des generellen Gestaltungsplans unter- liegt – da er eine Abänderung des Baugesetzes erforderlich macht – nach Massgabe von Art. 29 Abs. 1 GdeV der Urnenabstim- mung. Art. 31 in Verbindung mit Art. 36 Abs. 1 Ziff. 4 der GdeV be- stimmt weiter, dass der Urnenabstimmung nur Geschäfte unter- breitet werden dürfen, welche vom Gemeinderat vorberaten wor- den sind. Endlich hält Art. 51 Ziff. 1 GdeV fest, dass sämtliche Vorlagen, über die der Gemeinderat zu befinden hat, vom Ge- meindevorstand vorzuberaten sind. Dieser Verfahrensablauf be- dingt, dass der Gemeindevorstand dem kommunalen Parlament zunächst eine Botschaft mit seinen Anträgen vorlegt, worüber dieses dann zu beraten und zu entscheiden hat, um endlich die allenfalls geänderte endgültige Vorlage zuhanden der Volksab- stimmung zu verabschieden. Erst dann steht fest, dass die Ab- stimmung überhaupt stattfindet. In diesem Stadium beginnt die Pflicht der Behörden zur Zurückhaltung, und erst dann kann gegen Mängel in der Abstimmungsvorbereitung Stimmrechtsbeschwer- de erhoben werden. Auf den Rekurs ist somit nicht einzutreten. U 03 76 Urteil vom 2. September 2003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